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bookmarkEnd w:id="0"/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落實十二年國民基本教育課程綱要（以下簡稱課綱）總綱柒、實施要點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包括團隊成員之共同備課、授課、學習評量，及課後專業回饋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歷程，且成員均具授課之實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7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需採計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8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之共同備課、學習評量，及課後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，得結合各教學研究會、年級或年段會議，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採計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r w:rsidR="00301E56" w:rsidRPr="00713DF2">
        <w:rPr>
          <w:rFonts w:ascii="標楷體" w:eastAsia="標楷體" w:hAnsi="標楷體" w:hint="eastAsia"/>
          <w:color w:val="000000" w:themeColor="text1"/>
        </w:rPr>
        <w:t>所控留之專任員額經費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D9" w:rsidRDefault="00BB03D9" w:rsidP="00EA2563">
      <w:r>
        <w:separator/>
      </w:r>
    </w:p>
  </w:endnote>
  <w:endnote w:type="continuationSeparator" w:id="0">
    <w:p w:rsidR="00BB03D9" w:rsidRDefault="00BB03D9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80" w:rsidRPr="00AD3C80">
          <w:rPr>
            <w:noProof/>
            <w:lang w:val="zh-TW"/>
          </w:rPr>
          <w:t>1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D9" w:rsidRDefault="00BB03D9" w:rsidP="00EA2563">
      <w:r>
        <w:separator/>
      </w:r>
    </w:p>
  </w:footnote>
  <w:footnote w:type="continuationSeparator" w:id="0">
    <w:p w:rsidR="00BB03D9" w:rsidRDefault="00BB03D9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A1DCC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D3C80"/>
    <w:rsid w:val="00AE10AA"/>
    <w:rsid w:val="00B0031C"/>
    <w:rsid w:val="00B06769"/>
    <w:rsid w:val="00B37F7A"/>
    <w:rsid w:val="00B47A45"/>
    <w:rsid w:val="00B64BC7"/>
    <w:rsid w:val="00BA1A7F"/>
    <w:rsid w:val="00BB03D9"/>
    <w:rsid w:val="00BD5245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55D5C-3534-43ED-A011-BDE0008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hs3230</cp:lastModifiedBy>
  <cp:revision>2</cp:revision>
  <cp:lastPrinted>2017-08-18T09:33:00Z</cp:lastPrinted>
  <dcterms:created xsi:type="dcterms:W3CDTF">2017-10-27T06:54:00Z</dcterms:created>
  <dcterms:modified xsi:type="dcterms:W3CDTF">2017-10-27T06:54:00Z</dcterms:modified>
</cp:coreProperties>
</file>